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A3" w:rsidRPr="008670A3" w:rsidRDefault="008670A3" w:rsidP="008670A3">
      <w:pPr>
        <w:spacing w:after="240"/>
        <w:jc w:val="center"/>
        <w:rPr>
          <w:rFonts w:ascii="Times New Roman" w:hAnsi="Times New Roman" w:cs="Times New Roman"/>
          <w:color w:val="auto"/>
          <w:sz w:val="20"/>
          <w:szCs w:val="2"/>
        </w:rPr>
      </w:pPr>
      <w:r w:rsidRPr="008670A3">
        <w:rPr>
          <w:rFonts w:ascii="Times New Roman" w:hAnsi="Times New Roman" w:cs="Times New Roman"/>
          <w:color w:val="auto"/>
          <w:sz w:val="20"/>
          <w:szCs w:val="2"/>
        </w:rPr>
        <w:t xml:space="preserve">[Side </w:t>
      </w:r>
      <w:r w:rsidRPr="008670A3">
        <w:rPr>
          <w:rFonts w:ascii="Times New Roman" w:hAnsi="Times New Roman" w:cs="Times New Roman"/>
          <w:noProof/>
          <w:color w:val="auto"/>
          <w:sz w:val="20"/>
          <w:szCs w:val="2"/>
        </w:rPr>
        <w:t>1</w:t>
      </w:r>
      <w:r w:rsidRPr="008670A3">
        <w:rPr>
          <w:rFonts w:ascii="Times New Roman" w:hAnsi="Times New Roman" w:cs="Times New Roman"/>
          <w:color w:val="auto"/>
          <w:sz w:val="20"/>
          <w:szCs w:val="2"/>
        </w:rPr>
        <w:t>]</w:t>
      </w:r>
    </w:p>
    <w:p w:rsidR="005F05B1" w:rsidRPr="008670A3" w:rsidRDefault="005526B6" w:rsidP="008670A3">
      <w:pPr>
        <w:spacing w:after="120"/>
        <w:rPr>
          <w:rFonts w:ascii="Times New Roman" w:hAnsi="Times New Roman" w:cs="Times New Roman"/>
          <w:color w:val="auto"/>
          <w:sz w:val="18"/>
          <w:szCs w:val="2"/>
        </w:rPr>
      </w:pPr>
      <w:r w:rsidRPr="008670A3">
        <w:rPr>
          <w:rFonts w:ascii="Times New Roman" w:hAnsi="Times New Roman" w:cs="Times New Roman"/>
          <w:noProof/>
          <w:color w:val="auto"/>
          <w:sz w:val="18"/>
          <w:lang w:bidi="ar-SA"/>
        </w:rPr>
        <w:drawing>
          <wp:inline distT="0" distB="0" distL="0" distR="0">
            <wp:extent cx="2112010" cy="783590"/>
            <wp:effectExtent l="0" t="0" r="2540" b="0"/>
            <wp:docPr id="1" name="Picutre 1" descr="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120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B1" w:rsidRPr="008670A3" w:rsidRDefault="005526B6" w:rsidP="008670A3">
      <w:pPr>
        <w:pStyle w:val="Overskrift1"/>
        <w:rPr>
          <w:rFonts w:ascii="Times New Roman" w:hAnsi="Times New Roman" w:cs="Times New Roman"/>
          <w:color w:val="auto"/>
        </w:rPr>
      </w:pPr>
      <w:bookmarkStart w:id="0" w:name="bookmark0"/>
      <w:bookmarkStart w:id="1" w:name="bookmark1"/>
      <w:bookmarkStart w:id="2" w:name="bookmark2"/>
      <w:bookmarkStart w:id="3" w:name="bookmark3"/>
      <w:r w:rsidRPr="008670A3">
        <w:rPr>
          <w:rFonts w:ascii="Times New Roman" w:hAnsi="Times New Roman" w:cs="Times New Roman"/>
          <w:color w:val="auto"/>
        </w:rPr>
        <w:t>Udviklingsaftale</w:t>
      </w:r>
      <w:bookmarkEnd w:id="0"/>
      <w:bookmarkEnd w:id="1"/>
      <w:bookmarkEnd w:id="2"/>
      <w:bookmarkEnd w:id="3"/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20. januar 2022</w:t>
      </w:r>
    </w:p>
    <w:p w:rsidR="005F05B1" w:rsidRPr="008670A3" w:rsidRDefault="005526B6" w:rsidP="008670A3">
      <w:pPr>
        <w:pStyle w:val="Overskrift21"/>
        <w:shd w:val="clear" w:color="auto" w:fill="auto"/>
        <w:spacing w:after="120"/>
        <w:rPr>
          <w:color w:val="auto"/>
        </w:rPr>
      </w:pPr>
      <w:bookmarkStart w:id="4" w:name="bookmark4"/>
      <w:bookmarkStart w:id="5" w:name="bookmark5"/>
      <w:r w:rsidRPr="008670A3">
        <w:rPr>
          <w:color w:val="auto"/>
        </w:rPr>
        <w:t>Nota 2022</w:t>
      </w:r>
      <w:bookmarkEnd w:id="4"/>
      <w:bookmarkEnd w:id="5"/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Udviklingsaftalen mellem Kulturministeriet (departementet)/Slots- og Kulturstyrelsen på den ene side og Nota på den anden side fastlægger mål for Notas virksomhed i 2022 og de vilkår, der gives derfor.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 xml:space="preserve">Aftalen </w:t>
      </w:r>
      <w:r w:rsidRPr="008670A3">
        <w:rPr>
          <w:color w:val="auto"/>
        </w:rPr>
        <w:t xml:space="preserve">er étårig, og afrapportering af målene drøftes på virksomhedsmødet mellem Kulturministeriet (departementet)/Slots- og Kulturstyrelsen og Nota i begyndelsen af 2023 samt i forbindelse med leverancer i 2022. Der forventes i løbet af 2022 at blive indgået en </w:t>
      </w:r>
      <w:r w:rsidRPr="008670A3">
        <w:rPr>
          <w:color w:val="auto"/>
        </w:rPr>
        <w:t>fireårig rammeaftale for Nota for 2023-2026, som afløser denne étårige aftale.</w:t>
      </w:r>
    </w:p>
    <w:p w:rsidR="005F05B1" w:rsidRPr="008670A3" w:rsidRDefault="008670A3" w:rsidP="008670A3">
      <w:pPr>
        <w:pStyle w:val="Overskrift2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 xml:space="preserve">1. </w:t>
      </w:r>
      <w:r w:rsidR="005526B6" w:rsidRPr="008670A3">
        <w:rPr>
          <w:rFonts w:ascii="Times New Roman" w:hAnsi="Times New Roman" w:cs="Times New Roman"/>
          <w:color w:val="auto"/>
        </w:rPr>
        <w:t>Økonomisk ramme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 xml:space="preserve">Der forventes følgende økonomiske ramme for aftaleperioden, dog med forbehold for ændringer i bevillingen, jf. uforudsete udgifter pga. kendelse i </w:t>
      </w:r>
      <w:r w:rsidRPr="008670A3">
        <w:rPr>
          <w:color w:val="auto"/>
        </w:rPr>
        <w:t>Ophavsretslicensnævnet den 3. november 2021 i sag 123.</w:t>
      </w:r>
    </w:p>
    <w:p w:rsidR="005F05B1" w:rsidRPr="008670A3" w:rsidRDefault="005526B6" w:rsidP="008670A3">
      <w:pPr>
        <w:pStyle w:val="Overskrift3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>Økonomisk ramme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785"/>
        <w:gridCol w:w="720"/>
      </w:tblGrid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8670A3" w:rsidP="008670A3">
            <w:pPr>
              <w:pStyle w:val="Anden0"/>
              <w:shd w:val="clear" w:color="auto" w:fill="auto"/>
              <w:spacing w:before="160"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Hovedkonto 21.31.21</w:t>
            </w:r>
            <w:r w:rsidR="005526B6" w:rsidRPr="008670A3">
              <w:rPr>
                <w:rFonts w:eastAsia="Arial"/>
                <w:color w:val="auto"/>
                <w:sz w:val="18"/>
                <w:szCs w:val="13"/>
              </w:rPr>
              <w:t>.Nota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 xml:space="preserve">Regnskab </w:t>
            </w:r>
            <w:r w:rsidR="008670A3" w:rsidRPr="008670A3">
              <w:rPr>
                <w:rFonts w:eastAsia="Arial"/>
                <w:i/>
                <w:iCs/>
                <w:color w:val="auto"/>
                <w:sz w:val="18"/>
                <w:szCs w:val="13"/>
              </w:rPr>
              <w:t>(foreløbigt)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before="160"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Budget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Mio. kr.. 2021-prisniveau*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i/>
                <w:iCs/>
                <w:color w:val="auto"/>
                <w:sz w:val="18"/>
                <w:szCs w:val="13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2022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Bevilling (nettoudgiftsbevilling)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54,6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54,2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Driftsindtægter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31,2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31,5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 xml:space="preserve">Andre indtægter </w:t>
            </w:r>
            <w:r w:rsidRPr="008670A3">
              <w:rPr>
                <w:rFonts w:eastAsia="Arial"/>
                <w:color w:val="auto"/>
                <w:sz w:val="18"/>
                <w:szCs w:val="13"/>
              </w:rPr>
              <w:t>(tilskud mv.)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before="80"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0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1 alt til disposition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35,S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8"/>
                <w:szCs w:val="13"/>
              </w:rPr>
            </w:pPr>
            <w:r w:rsidRPr="008670A3">
              <w:rPr>
                <w:rFonts w:eastAsia="Arial"/>
                <w:color w:val="auto"/>
                <w:sz w:val="18"/>
                <w:szCs w:val="13"/>
              </w:rPr>
              <w:t>85,7</w:t>
            </w:r>
          </w:p>
        </w:tc>
      </w:tr>
    </w:tbl>
    <w:p w:rsidR="005F05B1" w:rsidRPr="008670A3" w:rsidRDefault="005526B6" w:rsidP="008670A3">
      <w:pPr>
        <w:pStyle w:val="Tabelbeskrivelse0"/>
        <w:shd w:val="clear" w:color="auto" w:fill="auto"/>
        <w:spacing w:before="120" w:after="120" w:line="240" w:lineRule="auto"/>
        <w:rPr>
          <w:rFonts w:ascii="Times New Roman" w:hAnsi="Times New Roman" w:cs="Times New Roman"/>
          <w:color w:val="auto"/>
          <w:sz w:val="18"/>
        </w:rPr>
      </w:pPr>
      <w:r w:rsidRPr="008670A3">
        <w:rPr>
          <w:rFonts w:ascii="Times New Roman" w:hAnsi="Times New Roman" w:cs="Times New Roman"/>
          <w:i w:val="0"/>
          <w:iCs w:val="0"/>
          <w:color w:val="auto"/>
          <w:sz w:val="18"/>
        </w:rPr>
        <w:t>Kilde: Finanslov for 2022</w:t>
      </w:r>
    </w:p>
    <w:p w:rsidR="005F05B1" w:rsidRPr="008670A3" w:rsidRDefault="005526B6" w:rsidP="008670A3">
      <w:pPr>
        <w:pStyle w:val="Tabelbeskrivelse0"/>
        <w:shd w:val="clear" w:color="auto" w:fill="auto"/>
        <w:spacing w:after="120" w:line="240" w:lineRule="auto"/>
        <w:rPr>
          <w:rFonts w:ascii="Times New Roman" w:hAnsi="Times New Roman" w:cs="Times New Roman"/>
          <w:color w:val="auto"/>
          <w:sz w:val="18"/>
        </w:rPr>
      </w:pPr>
      <w:r w:rsidRPr="008670A3">
        <w:rPr>
          <w:rFonts w:ascii="Times New Roman" w:hAnsi="Times New Roman" w:cs="Times New Roman"/>
          <w:i w:val="0"/>
          <w:iCs w:val="0"/>
          <w:color w:val="auto"/>
          <w:sz w:val="18"/>
        </w:rPr>
        <w:t xml:space="preserve">Anm: </w:t>
      </w:r>
      <w:r w:rsidR="008670A3" w:rsidRPr="008670A3">
        <w:rPr>
          <w:rFonts w:ascii="Times New Roman" w:hAnsi="Times New Roman" w:cs="Times New Roman"/>
          <w:i w:val="0"/>
          <w:iCs w:val="0"/>
          <w:color w:val="auto"/>
          <w:sz w:val="18"/>
        </w:rPr>
        <w:t>*</w:t>
      </w:r>
      <w:r w:rsidRPr="008670A3">
        <w:rPr>
          <w:rFonts w:ascii="Times New Roman" w:hAnsi="Times New Roman" w:cs="Times New Roman"/>
          <w:i w:val="0"/>
          <w:iCs w:val="0"/>
          <w:color w:val="auto"/>
          <w:sz w:val="18"/>
        </w:rPr>
        <w:t xml:space="preserve">Regnskab </w:t>
      </w:r>
      <w:r w:rsidRPr="008670A3">
        <w:rPr>
          <w:rFonts w:ascii="Times New Roman" w:hAnsi="Times New Roman" w:cs="Times New Roman"/>
          <w:color w:val="auto"/>
          <w:sz w:val="18"/>
        </w:rPr>
        <w:t>for 2021 er endnu ikke tilgængelige, hvorfor regnskabstal er et udt</w:t>
      </w:r>
      <w:r w:rsidR="008670A3" w:rsidRPr="008670A3">
        <w:rPr>
          <w:rFonts w:ascii="Times New Roman" w:hAnsi="Times New Roman" w:cs="Times New Roman"/>
          <w:color w:val="auto"/>
          <w:sz w:val="18"/>
        </w:rPr>
        <w:t>ryk for budgettal angivet i 2021</w:t>
      </w:r>
      <w:r w:rsidRPr="008670A3">
        <w:rPr>
          <w:rFonts w:ascii="Times New Roman" w:hAnsi="Times New Roman" w:cs="Times New Roman"/>
          <w:color w:val="auto"/>
          <w:sz w:val="18"/>
        </w:rPr>
        <w:t xml:space="preserve"> pl.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 xml:space="preserve">Det bevillingsmæssige grundlag er nærmere beskrevet på </w:t>
      </w:r>
      <w:r w:rsidRPr="008670A3">
        <w:rPr>
          <w:color w:val="auto"/>
        </w:rPr>
        <w:t>finansloven.</w:t>
      </w:r>
    </w:p>
    <w:p w:rsidR="008670A3" w:rsidRPr="008670A3" w:rsidRDefault="008670A3" w:rsidP="008670A3">
      <w:pPr>
        <w:pStyle w:val="Hovedtekst0"/>
        <w:shd w:val="clear" w:color="auto" w:fill="auto"/>
        <w:tabs>
          <w:tab w:val="left" w:pos="318"/>
        </w:tabs>
        <w:spacing w:line="240" w:lineRule="auto"/>
        <w:jc w:val="center"/>
        <w:rPr>
          <w:bCs/>
          <w:color w:val="auto"/>
          <w:szCs w:val="19"/>
        </w:rPr>
      </w:pPr>
      <w:r w:rsidRPr="008670A3">
        <w:rPr>
          <w:color w:val="auto"/>
        </w:rPr>
        <w:br w:type="page"/>
      </w:r>
      <w:r w:rsidRPr="008670A3">
        <w:rPr>
          <w:bCs/>
          <w:color w:val="auto"/>
          <w:szCs w:val="19"/>
        </w:rPr>
        <w:lastRenderedPageBreak/>
        <w:t xml:space="preserve">[Side </w:t>
      </w:r>
      <w:r w:rsidRPr="008670A3">
        <w:rPr>
          <w:bCs/>
          <w:noProof/>
          <w:color w:val="auto"/>
          <w:szCs w:val="19"/>
        </w:rPr>
        <w:t>2</w:t>
      </w:r>
      <w:r w:rsidRPr="008670A3">
        <w:rPr>
          <w:bCs/>
          <w:color w:val="auto"/>
          <w:szCs w:val="19"/>
        </w:rPr>
        <w:t>]</w:t>
      </w:r>
    </w:p>
    <w:p w:rsidR="005F05B1" w:rsidRPr="008670A3" w:rsidRDefault="008670A3" w:rsidP="008670A3">
      <w:pPr>
        <w:pStyle w:val="Overskrift2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 xml:space="preserve">2. </w:t>
      </w:r>
      <w:r w:rsidR="005526B6" w:rsidRPr="008670A3">
        <w:rPr>
          <w:rFonts w:ascii="Times New Roman" w:hAnsi="Times New Roman" w:cs="Times New Roman"/>
          <w:color w:val="auto"/>
          <w:lang w:eastAsia="en-US" w:bidi="en-US"/>
        </w:rPr>
        <w:t xml:space="preserve">Mission </w:t>
      </w:r>
      <w:r w:rsidR="005526B6" w:rsidRPr="008670A3">
        <w:rPr>
          <w:rFonts w:ascii="Times New Roman" w:hAnsi="Times New Roman" w:cs="Times New Roman"/>
          <w:color w:val="auto"/>
        </w:rPr>
        <w:t xml:space="preserve">og </w:t>
      </w:r>
      <w:r w:rsidR="005526B6" w:rsidRPr="008670A3">
        <w:rPr>
          <w:rFonts w:ascii="Times New Roman" w:hAnsi="Times New Roman" w:cs="Times New Roman"/>
          <w:color w:val="auto"/>
          <w:lang w:eastAsia="en-US" w:bidi="en-US"/>
        </w:rPr>
        <w:t>vision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  <w:u w:val="single"/>
          <w:lang w:eastAsia="en-US" w:bidi="en-US"/>
        </w:rPr>
        <w:t>Mission: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 xml:space="preserve">Nota sikrer adgang </w:t>
      </w:r>
      <w:r w:rsidRPr="008670A3">
        <w:rPr>
          <w:color w:val="auto"/>
          <w:lang w:eastAsia="en-US" w:bidi="en-US"/>
        </w:rPr>
        <w:t xml:space="preserve">til </w:t>
      </w:r>
      <w:r w:rsidRPr="008670A3">
        <w:rPr>
          <w:color w:val="auto"/>
        </w:rPr>
        <w:t>viden, samfundsdeltagelse og oplevelser for mennesker med syns- og læsevanskeligheder - tilpasset deres behov.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 xml:space="preserve">Nota er nationalt viden- og kompetencecenter for </w:t>
      </w:r>
      <w:r w:rsidRPr="008670A3">
        <w:rPr>
          <w:color w:val="auto"/>
        </w:rPr>
        <w:t>uddannelsesområdet, biblioteker, øvrige offentlige myndigheder, organisationer og private virksomheder.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  <w:u w:val="single"/>
        </w:rPr>
        <w:t>Vision: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Lige adgang til læsning.</w:t>
      </w:r>
    </w:p>
    <w:p w:rsidR="005F05B1" w:rsidRPr="008670A3" w:rsidRDefault="008670A3" w:rsidP="008670A3">
      <w:pPr>
        <w:pStyle w:val="Overskrift2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 xml:space="preserve">3. </w:t>
      </w:r>
      <w:r w:rsidR="005526B6" w:rsidRPr="008670A3">
        <w:rPr>
          <w:rFonts w:ascii="Times New Roman" w:hAnsi="Times New Roman" w:cs="Times New Roman"/>
          <w:color w:val="auto"/>
        </w:rPr>
        <w:t>Opgaver og mål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bookmarkStart w:id="6" w:name="_GoBack"/>
      <w:bookmarkEnd w:id="6"/>
      <w:r w:rsidRPr="008670A3">
        <w:rPr>
          <w:color w:val="auto"/>
        </w:rPr>
        <w:t>Notas opgaver konkretiseret i nedenstående udviklingsmål for 2022, der lægges til grund for Nota resulta</w:t>
      </w:r>
      <w:r w:rsidRPr="008670A3">
        <w:rPr>
          <w:color w:val="auto"/>
        </w:rPr>
        <w:t>trapportering og vurderingen af målopfyldelsen.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2"/>
        <w:gridCol w:w="5631"/>
      </w:tblGrid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9"/>
                <w:szCs w:val="19"/>
              </w:rPr>
            </w:pPr>
            <w:r w:rsidRPr="008670A3">
              <w:rPr>
                <w:b/>
                <w:bCs/>
                <w:color w:val="auto"/>
                <w:sz w:val="19"/>
                <w:szCs w:val="19"/>
              </w:rPr>
              <w:t>Opgaver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  <w:sz w:val="19"/>
                <w:szCs w:val="19"/>
              </w:rPr>
            </w:pPr>
            <w:r w:rsidRPr="008670A3">
              <w:rPr>
                <w:b/>
                <w:bCs/>
                <w:color w:val="auto"/>
                <w:sz w:val="19"/>
                <w:szCs w:val="19"/>
              </w:rPr>
              <w:t>Mål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</w:rPr>
            </w:pPr>
            <w:r w:rsidRPr="008670A3">
              <w:rPr>
                <w:color w:val="auto"/>
              </w:rPr>
              <w:t>Give alle mulighed for at læse, herunder understøtte bedre vilkår for udbredelsen af tilgængelige materialer, - herunder stille viden og kompetencer til rådighed.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</w:rPr>
            </w:pPr>
            <w:r w:rsidRPr="008670A3">
              <w:rPr>
                <w:color w:val="auto"/>
              </w:rPr>
              <w:t xml:space="preserve">Udarbejde analyse af betydningen af tilgængelighedsdirektivet (European </w:t>
            </w:r>
            <w:r w:rsidRPr="008670A3">
              <w:rPr>
                <w:color w:val="auto"/>
                <w:lang w:eastAsia="en-US" w:bidi="en-US"/>
              </w:rPr>
              <w:t xml:space="preserve">Accessibility Act) </w:t>
            </w:r>
            <w:r w:rsidRPr="008670A3">
              <w:rPr>
                <w:color w:val="auto"/>
              </w:rPr>
              <w:t>og den teknologiske/mediemæssige udvikling, i forhold til en strategi for Notas fremtidige virksomhed. Leverance: 1. kvartal 2022, samt evt. yderligere senere (aftal</w:t>
            </w:r>
            <w:r w:rsidRPr="008670A3">
              <w:rPr>
                <w:color w:val="auto"/>
              </w:rPr>
              <w:t>es nærmere).</w:t>
            </w:r>
          </w:p>
        </w:tc>
      </w:tr>
      <w:tr w:rsidR="008670A3" w:rsidRPr="008670A3" w:rsidTr="008670A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</w:rPr>
            </w:pPr>
            <w:r w:rsidRPr="008670A3">
              <w:rPr>
                <w:color w:val="auto"/>
              </w:rPr>
              <w:t>Støtte mennesker med læsevanskeligheder under uddannelse og i beskæftigelse ligesom Nota vil arbejde for at øge tilgængelighed til medier, herunder udvikling af nye digitale medieløsninger.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5B1" w:rsidRPr="008670A3" w:rsidRDefault="005526B6" w:rsidP="008670A3">
            <w:pPr>
              <w:pStyle w:val="Anden0"/>
              <w:shd w:val="clear" w:color="auto" w:fill="auto"/>
              <w:spacing w:after="120" w:line="240" w:lineRule="auto"/>
              <w:rPr>
                <w:color w:val="auto"/>
              </w:rPr>
            </w:pPr>
            <w:r w:rsidRPr="008670A3">
              <w:rPr>
                <w:color w:val="auto"/>
              </w:rPr>
              <w:t xml:space="preserve">Udarbejde analyse af Notas brugere, brugergrupper, </w:t>
            </w:r>
            <w:r w:rsidRPr="008670A3">
              <w:rPr>
                <w:color w:val="auto"/>
              </w:rPr>
              <w:t>brugeradfærd/udlånsmønstre og brugerbehov, i forhold til en strategi for Notas fremtidige virksomhed. Leverance: 1. kvartal 2022, samt evt. yderligere senere (aftales nærmere).</w:t>
            </w:r>
          </w:p>
        </w:tc>
      </w:tr>
    </w:tbl>
    <w:p w:rsidR="005F05B1" w:rsidRPr="008670A3" w:rsidRDefault="008670A3" w:rsidP="008670A3">
      <w:pPr>
        <w:pStyle w:val="Overskrift2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 xml:space="preserve">4. </w:t>
      </w:r>
      <w:r w:rsidR="005526B6" w:rsidRPr="008670A3">
        <w:rPr>
          <w:rFonts w:ascii="Times New Roman" w:hAnsi="Times New Roman" w:cs="Times New Roman"/>
          <w:color w:val="auto"/>
        </w:rPr>
        <w:t>Nøgletal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Ud over udviklingsmålene for 2022, er nedenstående nøgletal opstillet</w:t>
      </w:r>
      <w:r w:rsidRPr="008670A3">
        <w:rPr>
          <w:color w:val="auto"/>
        </w:rPr>
        <w:t xml:space="preserve"> på en række områder fra tidligere rammeaftaler, der således gør det muligt at følge udviklingen over tid.</w:t>
      </w:r>
    </w:p>
    <w:p w:rsidR="005F05B1" w:rsidRPr="008670A3" w:rsidRDefault="005526B6" w:rsidP="008670A3">
      <w:pPr>
        <w:pStyle w:val="Hovedtekst0"/>
        <w:numPr>
          <w:ilvl w:val="0"/>
          <w:numId w:val="6"/>
        </w:numPr>
        <w:shd w:val="clear" w:color="auto" w:fill="auto"/>
        <w:tabs>
          <w:tab w:val="left" w:pos="670"/>
        </w:tabs>
        <w:spacing w:after="120" w:line="240" w:lineRule="auto"/>
        <w:rPr>
          <w:color w:val="auto"/>
        </w:rPr>
      </w:pPr>
      <w:r w:rsidRPr="008670A3">
        <w:rPr>
          <w:color w:val="auto"/>
        </w:rPr>
        <w:t>Antal medlemmer</w:t>
      </w:r>
    </w:p>
    <w:p w:rsidR="005F05B1" w:rsidRPr="008670A3" w:rsidRDefault="005526B6" w:rsidP="008670A3">
      <w:pPr>
        <w:pStyle w:val="Hovedtekst0"/>
        <w:numPr>
          <w:ilvl w:val="0"/>
          <w:numId w:val="6"/>
        </w:numPr>
        <w:shd w:val="clear" w:color="auto" w:fill="auto"/>
        <w:tabs>
          <w:tab w:val="left" w:pos="670"/>
        </w:tabs>
        <w:spacing w:after="120" w:line="240" w:lineRule="auto"/>
        <w:rPr>
          <w:color w:val="auto"/>
        </w:rPr>
      </w:pPr>
      <w:r w:rsidRPr="008670A3">
        <w:rPr>
          <w:color w:val="auto"/>
        </w:rPr>
        <w:t>Antal udlån</w:t>
      </w:r>
    </w:p>
    <w:p w:rsidR="005F05B1" w:rsidRPr="008670A3" w:rsidRDefault="005526B6" w:rsidP="008670A3">
      <w:pPr>
        <w:pStyle w:val="Overskrift3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>Rapportering af resultater m.v.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Nota skal sikre åbenhed og gennemsigtighed med hensyn til Notas resultater og virksomhed.</w:t>
      </w:r>
      <w:r w:rsidRPr="008670A3">
        <w:rPr>
          <w:color w:val="auto"/>
        </w:rPr>
        <w:t xml:space="preserve"> Som led heri rapporterer Nota om opnåede resultater og opfyldelse af målene efter de til enhver tid gældende regler og retningslinjer</w:t>
      </w:r>
    </w:p>
    <w:p w:rsidR="008670A3" w:rsidRPr="008670A3" w:rsidRDefault="008670A3" w:rsidP="008670A3">
      <w:pPr>
        <w:pStyle w:val="Hovedtekst0"/>
        <w:shd w:val="clear" w:color="auto" w:fill="auto"/>
        <w:spacing w:line="240" w:lineRule="auto"/>
        <w:jc w:val="center"/>
        <w:rPr>
          <w:color w:val="auto"/>
        </w:rPr>
      </w:pPr>
      <w:r w:rsidRPr="008670A3">
        <w:rPr>
          <w:color w:val="auto"/>
        </w:rPr>
        <w:br w:type="page"/>
      </w:r>
      <w:r w:rsidRPr="008670A3">
        <w:rPr>
          <w:color w:val="auto"/>
        </w:rPr>
        <w:lastRenderedPageBreak/>
        <w:t xml:space="preserve">[Side </w:t>
      </w:r>
      <w:r w:rsidRPr="008670A3">
        <w:rPr>
          <w:noProof/>
          <w:color w:val="auto"/>
        </w:rPr>
        <w:t>3</w:t>
      </w:r>
      <w:r w:rsidRPr="008670A3">
        <w:rPr>
          <w:color w:val="auto"/>
        </w:rPr>
        <w:t>]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herfor. Rapporteringen drøftes med ministeriet og danner grundlag for ministeriets resultatopfølg</w:t>
      </w:r>
      <w:r w:rsidRPr="008670A3">
        <w:rPr>
          <w:color w:val="auto"/>
        </w:rPr>
        <w:t>ning.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 xml:space="preserve">Nota skal uafhængigt heraf underrette ministeriet, hvis der opstår risiko for, at Nota ikke vil kunne opfylde sit formål eller leve op til lovgivningens krav, eller hvis det økonomiske resultat i året forventes at skulle vurderes som ikke </w:t>
      </w:r>
      <w:r w:rsidRPr="008670A3">
        <w:rPr>
          <w:color w:val="auto"/>
        </w:rPr>
        <w:t>tilfredsstillende, jf. Kulturministeriets politik for resultatstyring.</w:t>
      </w:r>
    </w:p>
    <w:p w:rsidR="005F05B1" w:rsidRPr="008670A3" w:rsidRDefault="008670A3" w:rsidP="008670A3">
      <w:pPr>
        <w:pStyle w:val="Overskrift2"/>
        <w:rPr>
          <w:rFonts w:ascii="Times New Roman" w:hAnsi="Times New Roman" w:cs="Times New Roman"/>
          <w:color w:val="auto"/>
        </w:rPr>
      </w:pPr>
      <w:r w:rsidRPr="008670A3">
        <w:rPr>
          <w:rFonts w:ascii="Times New Roman" w:hAnsi="Times New Roman" w:cs="Times New Roman"/>
          <w:color w:val="auto"/>
        </w:rPr>
        <w:t xml:space="preserve">5. </w:t>
      </w:r>
      <w:r w:rsidR="005526B6" w:rsidRPr="008670A3">
        <w:rPr>
          <w:rFonts w:ascii="Times New Roman" w:hAnsi="Times New Roman" w:cs="Times New Roman"/>
          <w:color w:val="auto"/>
        </w:rPr>
        <w:t>Aftalens status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Denne aftale er ikke en kontrakt i juridisk forstand. Der ændres ikke ved ministeransvaret og de almindelige instruktionsbeføjelser i forholdet mellem departement og ins</w:t>
      </w:r>
      <w:r w:rsidRPr="008670A3">
        <w:rPr>
          <w:color w:val="auto"/>
        </w:rPr>
        <w:t>titutionen. Gældende lovgivning og hjemmelskrav, budget- og bevillingsregler, overenskomster mv. skal følges, medmindre der er tilvejebragt hjemmel til fravigelse. Departementet kan tilbagekalde eller ændre aftalen eller dele heraf i kraft af de almindelig</w:t>
      </w:r>
      <w:r w:rsidRPr="008670A3">
        <w:rPr>
          <w:color w:val="auto"/>
        </w:rPr>
        <w:t>e instruktionsbeføjelser.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Som udgangspunkt skal mindre ændringer af ansvarsområde eller af aftalte målsætninger håndteres inden for de aftalte bevillingsmæssige rammer. Det samme gælder for mindre bevillingsmæssige ændringer, som i udgangspunktet ikke give</w:t>
      </w:r>
      <w:r w:rsidRPr="008670A3">
        <w:rPr>
          <w:color w:val="auto"/>
        </w:rPr>
        <w:t>r anledning til en ændret opgavesammensætning eller ændringer i de krav, der stilles i forbindelse hermed.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Omfattende ændringer i Notas økonomiske rammer kan give anledning til en genforhandling af målene i aftalen.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Udviklingsaftalen er ikke til hinder for</w:t>
      </w:r>
      <w:r w:rsidRPr="008670A3">
        <w:rPr>
          <w:color w:val="auto"/>
        </w:rPr>
        <w:t>, at der sker tilførsel eller bortfald af bevillinger i løbet af aftaleperioden.</w:t>
      </w:r>
    </w:p>
    <w:p w:rsidR="005F05B1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Dato: 20. januar 2022</w:t>
      </w:r>
    </w:p>
    <w:p w:rsidR="005F05B1" w:rsidRPr="008670A3" w:rsidRDefault="005526B6" w:rsidP="008670A3">
      <w:pPr>
        <w:pStyle w:val="Billedtekst1"/>
        <w:shd w:val="clear" w:color="auto" w:fill="auto"/>
        <w:spacing w:after="120"/>
        <w:rPr>
          <w:color w:val="auto"/>
        </w:rPr>
      </w:pPr>
      <w:r w:rsidRPr="008670A3">
        <w:rPr>
          <w:color w:val="auto"/>
        </w:rPr>
        <w:t>Kulturministeriet</w:t>
      </w:r>
    </w:p>
    <w:p w:rsidR="008670A3" w:rsidRPr="008670A3" w:rsidRDefault="005526B6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color w:val="auto"/>
        </w:rPr>
        <w:t>Dorte Nøhr Andersen</w:t>
      </w:r>
    </w:p>
    <w:p w:rsidR="005F05B1" w:rsidRPr="008670A3" w:rsidRDefault="008670A3" w:rsidP="008670A3">
      <w:pPr>
        <w:pStyle w:val="Hovedtekst0"/>
        <w:shd w:val="clear" w:color="auto" w:fill="auto"/>
        <w:spacing w:after="120" w:line="240" w:lineRule="auto"/>
        <w:rPr>
          <w:color w:val="auto"/>
        </w:rPr>
      </w:pPr>
      <w:r w:rsidRPr="008670A3">
        <w:rPr>
          <w:noProof/>
          <w:color w:val="auto"/>
          <w:lang w:bidi="ar-SA"/>
        </w:rPr>
        <w:drawing>
          <wp:inline distT="0" distB="0" distL="0" distR="0" wp14:anchorId="6B06BB41" wp14:editId="7C4A89E5">
            <wp:extent cx="1017905" cy="316865"/>
            <wp:effectExtent l="0" t="0" r="0" b="6985"/>
            <wp:docPr id="2" name="Shape 2" descr="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1790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B1" w:rsidRPr="008670A3" w:rsidRDefault="005526B6" w:rsidP="008670A3">
      <w:pPr>
        <w:pStyle w:val="Sidehovedellersidefod0"/>
        <w:shd w:val="clear" w:color="auto" w:fill="auto"/>
        <w:spacing w:after="120"/>
        <w:rPr>
          <w:color w:val="auto"/>
        </w:rPr>
      </w:pPr>
      <w:r w:rsidRPr="008670A3">
        <w:rPr>
          <w:color w:val="auto"/>
        </w:rPr>
        <w:t>Departementschef</w:t>
      </w:r>
    </w:p>
    <w:p w:rsidR="008670A3" w:rsidRPr="008670A3" w:rsidRDefault="005526B6" w:rsidP="008670A3">
      <w:pPr>
        <w:pStyle w:val="Billedtekst1"/>
        <w:shd w:val="clear" w:color="auto" w:fill="auto"/>
        <w:spacing w:after="120"/>
        <w:rPr>
          <w:color w:val="auto"/>
        </w:rPr>
      </w:pPr>
      <w:r w:rsidRPr="008670A3">
        <w:rPr>
          <w:color w:val="auto"/>
        </w:rPr>
        <w:t>Michael Karvø</w:t>
      </w:r>
    </w:p>
    <w:p w:rsidR="005F05B1" w:rsidRPr="008670A3" w:rsidRDefault="008670A3" w:rsidP="008670A3">
      <w:pPr>
        <w:pStyle w:val="Billedtekst1"/>
        <w:shd w:val="clear" w:color="auto" w:fill="auto"/>
        <w:spacing w:after="120"/>
        <w:rPr>
          <w:color w:val="auto"/>
        </w:rPr>
      </w:pPr>
      <w:r w:rsidRPr="008670A3">
        <w:rPr>
          <w:noProof/>
          <w:color w:val="auto"/>
          <w:lang w:bidi="ar-SA"/>
        </w:rPr>
        <w:drawing>
          <wp:inline distT="0" distB="0" distL="0" distR="0" wp14:anchorId="5254AE01" wp14:editId="15A44EB5">
            <wp:extent cx="1710055" cy="929640"/>
            <wp:effectExtent l="0" t="0" r="4445" b="3810"/>
            <wp:docPr id="4" name="Shape 4" descr="Illust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71005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B1" w:rsidRPr="008670A3" w:rsidRDefault="005526B6" w:rsidP="008670A3">
      <w:pPr>
        <w:pStyle w:val="Sidehovedellersidefod0"/>
        <w:shd w:val="clear" w:color="auto" w:fill="auto"/>
        <w:spacing w:after="120"/>
        <w:rPr>
          <w:color w:val="auto"/>
        </w:rPr>
      </w:pPr>
      <w:r w:rsidRPr="008670A3">
        <w:rPr>
          <w:color w:val="auto"/>
        </w:rPr>
        <w:t>Konstitueret direktør</w:t>
      </w:r>
    </w:p>
    <w:sectPr w:rsidR="005F05B1" w:rsidRPr="008670A3" w:rsidSect="008670A3">
      <w:pgSz w:w="11911" w:h="16840"/>
      <w:pgMar w:top="170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B6" w:rsidRDefault="005526B6">
      <w:r>
        <w:separator/>
      </w:r>
    </w:p>
  </w:endnote>
  <w:endnote w:type="continuationSeparator" w:id="0">
    <w:p w:rsidR="005526B6" w:rsidRDefault="005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B6" w:rsidRDefault="005526B6"/>
  </w:footnote>
  <w:footnote w:type="continuationSeparator" w:id="0">
    <w:p w:rsidR="005526B6" w:rsidRDefault="005526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6B"/>
    <w:multiLevelType w:val="hybridMultilevel"/>
    <w:tmpl w:val="280A81F2"/>
    <w:lvl w:ilvl="0" w:tplc="38F213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53E"/>
    <w:multiLevelType w:val="multilevel"/>
    <w:tmpl w:val="1D14F6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12451"/>
    <w:multiLevelType w:val="multilevel"/>
    <w:tmpl w:val="CF20A2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B6084"/>
    <w:multiLevelType w:val="hybridMultilevel"/>
    <w:tmpl w:val="C0202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9172D"/>
    <w:multiLevelType w:val="multilevel"/>
    <w:tmpl w:val="B330C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617C2"/>
    <w:multiLevelType w:val="multilevel"/>
    <w:tmpl w:val="37285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B1"/>
    <w:rsid w:val="005526B6"/>
    <w:rsid w:val="005F05B1"/>
    <w:rsid w:val="00671EF3"/>
    <w:rsid w:val="008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1BF0"/>
  <w15:docId w15:val="{085C3FE0-06C5-42A4-80B2-99CC996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7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7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7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66CC"/>
      <w:u w:val="single"/>
    </w:rPr>
  </w:style>
  <w:style w:type="character" w:customStyle="1" w:styleId="Overskrift10">
    <w:name w:val="Overskrift #1_"/>
    <w:basedOn w:val="Standardskrifttypeiafsnit"/>
    <w:link w:val="Overskrif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ovedtekst">
    <w:name w:val="Hovedtekst_"/>
    <w:basedOn w:val="Standardskrifttypeiafsnit"/>
    <w:link w:val="Hoved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verskrift20">
    <w:name w:val="Overskrift #2_"/>
    <w:basedOn w:val="Standardskrifttypeiafsnit"/>
    <w:link w:val="Overskrif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elbeskrivelse">
    <w:name w:val="Tabelbeskrivelse_"/>
    <w:basedOn w:val="Standardskrifttypeiafsnit"/>
    <w:link w:val="Tabelbeskrivelse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nden">
    <w:name w:val="Anden_"/>
    <w:basedOn w:val="Standardskrifttypeiafsnit"/>
    <w:link w:val="Ande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illedtekst">
    <w:name w:val="Billedtekst_"/>
    <w:basedOn w:val="Standardskrifttypeiafsnit"/>
    <w:link w:val="Billedteks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dehovedellersidefod">
    <w:name w:val="Sidehoved eller sidefod_"/>
    <w:basedOn w:val="Standardskrifttypeiafsnit"/>
    <w:link w:val="Sidehovedellersidefo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verskrift11">
    <w:name w:val="Overskrift #1"/>
    <w:basedOn w:val="Normal"/>
    <w:link w:val="Overskrift10"/>
    <w:pPr>
      <w:shd w:val="clear" w:color="auto" w:fill="FFFFFF"/>
      <w:spacing w:after="102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ovedtekst0">
    <w:name w:val="Hovedtekst"/>
    <w:basedOn w:val="Normal"/>
    <w:link w:val="Hovedtekst"/>
    <w:pPr>
      <w:shd w:val="clear" w:color="auto" w:fill="FFFFFF"/>
      <w:spacing w:after="24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verskrift21">
    <w:name w:val="Overskrift #2"/>
    <w:basedOn w:val="Normal"/>
    <w:link w:val="Overskrift20"/>
    <w:pPr>
      <w:shd w:val="clear" w:color="auto" w:fill="FFFFFF"/>
      <w:spacing w:after="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elbeskrivelse0">
    <w:name w:val="Tabelbeskrivelse"/>
    <w:basedOn w:val="Normal"/>
    <w:link w:val="Tabelbeskrivelse"/>
    <w:pPr>
      <w:shd w:val="clear" w:color="auto" w:fill="FFFFFF"/>
      <w:spacing w:line="262" w:lineRule="auto"/>
    </w:pPr>
    <w:rPr>
      <w:rFonts w:ascii="Arial" w:eastAsia="Arial" w:hAnsi="Arial" w:cs="Arial"/>
      <w:i/>
      <w:iCs/>
      <w:sz w:val="13"/>
      <w:szCs w:val="13"/>
    </w:rPr>
  </w:style>
  <w:style w:type="paragraph" w:customStyle="1" w:styleId="Anden0">
    <w:name w:val="Anden"/>
    <w:basedOn w:val="Normal"/>
    <w:link w:val="Anden"/>
    <w:pPr>
      <w:shd w:val="clear" w:color="auto" w:fill="FFFFFF"/>
      <w:spacing w:after="24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illedtekst1">
    <w:name w:val="Billedtekst1"/>
    <w:basedOn w:val="Normal"/>
    <w:link w:val="Billedteks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dehovedellersidefod0">
    <w:name w:val="Sidehoved eller sidefod"/>
    <w:basedOn w:val="Normal"/>
    <w:link w:val="Sidehovedellersidefo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7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7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70A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665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Marie Rasmussen</cp:lastModifiedBy>
  <cp:revision>3</cp:revision>
  <dcterms:created xsi:type="dcterms:W3CDTF">2022-01-27T15:27:00Z</dcterms:created>
  <dcterms:modified xsi:type="dcterms:W3CDTF">2022-01-27T15:38:00Z</dcterms:modified>
</cp:coreProperties>
</file>